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62" w:firstLineChars="100"/>
        <w:jc w:val="center"/>
        <w:rPr>
          <w:rFonts w:ascii="仿宋_GB2312" w:eastAsia="仿宋_GB2312"/>
          <w:b/>
          <w:spacing w:val="4"/>
          <w:sz w:val="44"/>
          <w:szCs w:val="44"/>
        </w:rPr>
      </w:pPr>
      <w:r>
        <w:rPr>
          <w:rFonts w:hint="eastAsia" w:ascii="仿宋_GB2312" w:eastAsia="仿宋_GB2312"/>
          <w:b/>
          <w:spacing w:val="32"/>
          <w:w w:val="90"/>
          <w:sz w:val="44"/>
          <w:szCs w:val="44"/>
        </w:rPr>
        <w:t>泸州市兴泸远大建筑科技有限公司</w:t>
      </w:r>
    </w:p>
    <w:p>
      <w:pPr>
        <w:pStyle w:val="4"/>
        <w:topLinePunct/>
        <w:spacing w:line="240" w:lineRule="auto"/>
        <w:ind w:firstLine="0"/>
        <w:jc w:val="center"/>
        <w:rPr>
          <w:rFonts w:ascii="仿宋" w:eastAsia="仿宋"/>
          <w:b/>
          <w:bCs/>
          <w:spacing w:val="20"/>
          <w:sz w:val="44"/>
          <w:szCs w:val="44"/>
        </w:rPr>
      </w:pPr>
      <w:r>
        <w:rPr>
          <w:rFonts w:hint="eastAsia" w:ascii="仿宋_GB2312" w:eastAsia="仿宋"/>
          <w:b/>
          <w:sz w:val="44"/>
          <w:szCs w:val="44"/>
        </w:rPr>
        <w:t>2020至2021年度通用钢筋桁架采购</w:t>
      </w:r>
    </w:p>
    <w:p>
      <w:pPr>
        <w:spacing w:line="360" w:lineRule="auto"/>
        <w:ind w:firstLine="3896" w:firstLineChars="539"/>
        <w:rPr>
          <w:rFonts w:ascii="宋体" w:hAnsi="宋体" w:cs="宋体"/>
          <w:b/>
          <w:sz w:val="72"/>
          <w:szCs w:val="72"/>
        </w:rPr>
      </w:pPr>
    </w:p>
    <w:p>
      <w:pPr>
        <w:spacing w:line="1400" w:lineRule="exact"/>
        <w:jc w:val="center"/>
        <w:rPr>
          <w:rFonts w:ascii="宋体" w:hAnsi="宋体" w:cs="宋体"/>
          <w:b/>
          <w:sz w:val="36"/>
          <w:szCs w:val="36"/>
        </w:rPr>
      </w:pPr>
      <w:r>
        <w:rPr>
          <w:rFonts w:hint="eastAsia" w:ascii="宋体" w:hAnsi="宋体" w:cs="宋体"/>
          <w:b/>
          <w:sz w:val="36"/>
          <w:szCs w:val="36"/>
        </w:rPr>
        <w:t>比</w:t>
      </w:r>
    </w:p>
    <w:p>
      <w:pPr>
        <w:spacing w:line="1400" w:lineRule="exact"/>
        <w:jc w:val="center"/>
        <w:rPr>
          <w:rFonts w:ascii="宋体" w:hAnsi="宋体" w:cs="宋体"/>
          <w:b/>
          <w:sz w:val="36"/>
          <w:szCs w:val="36"/>
        </w:rPr>
      </w:pPr>
      <w:r>
        <w:rPr>
          <w:rFonts w:hint="eastAsia" w:ascii="宋体" w:hAnsi="宋体" w:cs="宋体"/>
          <w:b/>
          <w:sz w:val="36"/>
          <w:szCs w:val="36"/>
        </w:rPr>
        <w:t>选</w:t>
      </w:r>
    </w:p>
    <w:p>
      <w:pPr>
        <w:spacing w:line="1400" w:lineRule="exact"/>
        <w:jc w:val="center"/>
        <w:rPr>
          <w:rFonts w:ascii="宋体" w:hAnsi="宋体" w:cs="宋体"/>
          <w:b/>
          <w:sz w:val="36"/>
          <w:szCs w:val="36"/>
        </w:rPr>
      </w:pPr>
      <w:r>
        <w:rPr>
          <w:rFonts w:hint="eastAsia" w:ascii="宋体" w:hAnsi="宋体" w:cs="宋体"/>
          <w:b/>
          <w:sz w:val="36"/>
          <w:szCs w:val="36"/>
          <w:lang w:eastAsia="zh-CN"/>
        </w:rPr>
        <w:t>公</w:t>
      </w:r>
    </w:p>
    <w:p>
      <w:pPr>
        <w:spacing w:line="1400" w:lineRule="exact"/>
        <w:jc w:val="center"/>
        <w:rPr>
          <w:rFonts w:ascii="宋体" w:hAnsi="宋体" w:cs="宋体"/>
          <w:b/>
          <w:sz w:val="36"/>
          <w:szCs w:val="36"/>
        </w:rPr>
      </w:pPr>
      <w:r>
        <w:rPr>
          <w:rFonts w:hint="eastAsia" w:ascii="宋体" w:hAnsi="宋体" w:cs="宋体"/>
          <w:b/>
          <w:sz w:val="36"/>
          <w:szCs w:val="36"/>
          <w:lang w:eastAsia="zh-CN"/>
        </w:rPr>
        <w:t>告</w:t>
      </w:r>
    </w:p>
    <w:p>
      <w:pPr>
        <w:spacing w:line="400" w:lineRule="exact"/>
        <w:ind w:firstLine="720" w:firstLineChars="200"/>
        <w:jc w:val="center"/>
        <w:rPr>
          <w:rFonts w:ascii="宋体" w:hAnsi="宋体" w:cs="宋体"/>
          <w:sz w:val="36"/>
          <w:szCs w:val="36"/>
        </w:rPr>
      </w:pPr>
    </w:p>
    <w:p>
      <w:pPr>
        <w:spacing w:line="400" w:lineRule="exact"/>
        <w:ind w:firstLine="720" w:firstLineChars="200"/>
        <w:jc w:val="center"/>
        <w:rPr>
          <w:rFonts w:ascii="宋体" w:hAnsi="宋体" w:cs="宋体"/>
          <w:sz w:val="36"/>
          <w:szCs w:val="36"/>
        </w:rPr>
      </w:pPr>
    </w:p>
    <w:p>
      <w:pPr>
        <w:spacing w:line="480" w:lineRule="auto"/>
        <w:rPr>
          <w:rFonts w:ascii="宋体" w:hAnsi="宋体" w:cs="宋体"/>
          <w:b/>
          <w:sz w:val="36"/>
          <w:szCs w:val="36"/>
        </w:rPr>
      </w:pPr>
    </w:p>
    <w:p>
      <w:pPr>
        <w:spacing w:line="480" w:lineRule="auto"/>
        <w:ind w:firstLine="723" w:firstLineChars="200"/>
        <w:jc w:val="center"/>
        <w:rPr>
          <w:rFonts w:ascii="宋体" w:hAnsi="宋体" w:cs="宋体"/>
          <w:b/>
          <w:sz w:val="36"/>
          <w:szCs w:val="36"/>
        </w:rPr>
      </w:pPr>
    </w:p>
    <w:p>
      <w:pPr>
        <w:spacing w:line="480" w:lineRule="auto"/>
        <w:rPr>
          <w:rFonts w:ascii="宋体" w:hAnsi="宋体" w:cs="宋体"/>
          <w:b/>
          <w:sz w:val="36"/>
          <w:szCs w:val="36"/>
        </w:rPr>
      </w:pPr>
    </w:p>
    <w:p>
      <w:pPr>
        <w:spacing w:line="480" w:lineRule="auto"/>
        <w:jc w:val="center"/>
        <w:rPr>
          <w:rFonts w:ascii="宋体" w:hAnsi="宋体" w:cs="宋体"/>
          <w:b/>
          <w:sz w:val="32"/>
          <w:szCs w:val="32"/>
        </w:rPr>
      </w:pPr>
    </w:p>
    <w:p>
      <w:pPr>
        <w:spacing w:line="480" w:lineRule="auto"/>
        <w:jc w:val="center"/>
        <w:rPr>
          <w:rFonts w:ascii="宋体" w:hAnsi="宋体" w:cs="宋体"/>
          <w:b/>
          <w:sz w:val="32"/>
          <w:szCs w:val="32"/>
        </w:rPr>
      </w:pPr>
    </w:p>
    <w:p>
      <w:pPr>
        <w:spacing w:line="480" w:lineRule="auto"/>
        <w:jc w:val="center"/>
        <w:rPr>
          <w:rFonts w:ascii="宋体" w:hAnsi="宋体" w:cs="宋体"/>
          <w:b/>
          <w:sz w:val="32"/>
          <w:szCs w:val="32"/>
        </w:rPr>
      </w:pPr>
      <w:r>
        <w:rPr>
          <w:rFonts w:hint="eastAsia" w:ascii="宋体" w:hAnsi="宋体" w:cs="宋体"/>
          <w:b/>
          <w:sz w:val="32"/>
          <w:szCs w:val="32"/>
        </w:rPr>
        <w:t>泸州市兴泸远大建筑科技有限公司</w:t>
      </w:r>
    </w:p>
    <w:p>
      <w:pPr>
        <w:spacing w:line="480" w:lineRule="auto"/>
        <w:jc w:val="center"/>
        <w:rPr>
          <w:rFonts w:ascii="宋体" w:hAnsi="宋体" w:cs="宋体"/>
          <w:sz w:val="32"/>
          <w:szCs w:val="32"/>
        </w:rPr>
        <w:sectPr>
          <w:footerReference r:id="rId7" w:type="first"/>
          <w:headerReference r:id="rId3" w:type="default"/>
          <w:footerReference r:id="rId5" w:type="default"/>
          <w:headerReference r:id="rId4" w:type="even"/>
          <w:footerReference r:id="rId6" w:type="even"/>
          <w:pgSz w:w="11907" w:h="16840"/>
          <w:pgMar w:top="1134" w:right="1134" w:bottom="1134" w:left="1418" w:header="0" w:footer="567" w:gutter="0"/>
          <w:pgNumType w:fmt="numberInDash" w:start="0"/>
          <w:cols w:space="720" w:num="1"/>
          <w:titlePg/>
          <w:docGrid w:type="lines" w:linePitch="312" w:charSpace="0"/>
        </w:sectPr>
      </w:pPr>
      <w:r>
        <w:rPr>
          <w:rFonts w:hint="eastAsia" w:ascii="宋体" w:hAnsi="宋体" w:cs="宋体"/>
          <w:b/>
          <w:sz w:val="32"/>
          <w:szCs w:val="32"/>
        </w:rPr>
        <w:t>2020年</w:t>
      </w:r>
    </w:p>
    <w:p>
      <w:pPr>
        <w:jc w:val="center"/>
        <w:rPr>
          <w:rFonts w:ascii="楷体" w:hAnsi="楷体" w:eastAsia="楷体" w:cs="仿宋"/>
          <w:sz w:val="24"/>
        </w:rPr>
      </w:pPr>
      <w:r>
        <w:rPr>
          <w:rFonts w:hint="eastAsia" w:ascii="楷体" w:hAnsi="楷体" w:eastAsia="楷体"/>
          <w:sz w:val="44"/>
          <w:szCs w:val="44"/>
        </w:rPr>
        <w:t>第一章比选邀请函</w:t>
      </w:r>
    </w:p>
    <w:p>
      <w:pPr>
        <w:rPr>
          <w:rFonts w:ascii="楷体" w:hAnsi="楷体" w:eastAsia="楷体" w:cs="仿宋"/>
          <w:b/>
          <w:bCs/>
          <w:sz w:val="28"/>
          <w:szCs w:val="28"/>
        </w:rPr>
      </w:pPr>
      <w:bookmarkStart w:id="0" w:name="_Toc478669136"/>
      <w:bookmarkEnd w:id="0"/>
      <w:r>
        <w:rPr>
          <w:rFonts w:hint="eastAsia" w:ascii="楷体" w:hAnsi="楷体" w:eastAsia="楷体" w:cs="仿宋"/>
          <w:b/>
          <w:bCs/>
          <w:sz w:val="28"/>
          <w:szCs w:val="28"/>
        </w:rPr>
        <w:t>一、比选条件</w:t>
      </w:r>
    </w:p>
    <w:p>
      <w:pPr>
        <w:ind w:firstLine="560" w:firstLineChars="200"/>
        <w:rPr>
          <w:rFonts w:ascii="楷体" w:hAnsi="楷体" w:eastAsia="楷体" w:cs="仿宋"/>
          <w:sz w:val="28"/>
          <w:szCs w:val="28"/>
        </w:rPr>
      </w:pPr>
      <w:r>
        <w:rPr>
          <w:rFonts w:hint="eastAsia" w:ascii="楷体" w:hAnsi="楷体" w:eastAsia="楷体" w:cs="仿宋"/>
          <w:sz w:val="28"/>
          <w:szCs w:val="28"/>
        </w:rPr>
        <w:t>为满足我司日常生产经营需要，现以公开比选方式确定泸州市兴泸远大建筑科技有限公司2020至2021年度通用所需</w:t>
      </w:r>
      <w:r>
        <w:rPr>
          <w:rFonts w:hint="eastAsia" w:ascii="楷体" w:hAnsi="楷体" w:eastAsia="楷体" w:cs="仿宋"/>
          <w:sz w:val="28"/>
          <w:szCs w:val="28"/>
          <w:u w:val="single"/>
        </w:rPr>
        <w:t>钢筋桁架</w:t>
      </w:r>
      <w:r>
        <w:rPr>
          <w:rFonts w:hint="eastAsia" w:ascii="楷体" w:hAnsi="楷体" w:eastAsia="楷体" w:cs="仿宋"/>
          <w:sz w:val="28"/>
          <w:szCs w:val="28"/>
        </w:rPr>
        <w:t>的供应商。</w:t>
      </w:r>
    </w:p>
    <w:p>
      <w:pPr>
        <w:rPr>
          <w:rFonts w:ascii="楷体" w:hAnsi="楷体" w:eastAsia="楷体" w:cs="仿宋"/>
          <w:b/>
          <w:bCs/>
          <w:sz w:val="28"/>
          <w:szCs w:val="28"/>
        </w:rPr>
      </w:pPr>
      <w:bookmarkStart w:id="1" w:name="_Toc478669137"/>
      <w:bookmarkEnd w:id="1"/>
      <w:r>
        <w:rPr>
          <w:rFonts w:hint="eastAsia" w:ascii="楷体" w:hAnsi="楷体" w:eastAsia="楷体" w:cs="仿宋"/>
          <w:b/>
          <w:bCs/>
          <w:sz w:val="28"/>
          <w:szCs w:val="28"/>
        </w:rPr>
        <w:t>二、比选范围</w:t>
      </w:r>
    </w:p>
    <w:p>
      <w:pPr>
        <w:ind w:firstLine="560" w:firstLineChars="200"/>
        <w:rPr>
          <w:rFonts w:ascii="楷体" w:hAnsi="楷体" w:eastAsia="楷体" w:cs="仿宋"/>
          <w:sz w:val="28"/>
          <w:szCs w:val="28"/>
        </w:rPr>
      </w:pPr>
      <w:r>
        <w:rPr>
          <w:rFonts w:hint="eastAsia" w:ascii="楷体" w:hAnsi="楷体" w:eastAsia="楷体" w:cs="仿宋"/>
          <w:sz w:val="28"/>
          <w:szCs w:val="28"/>
        </w:rPr>
        <w:t>1、产品名称、规格、单位、高度要求：</w:t>
      </w:r>
    </w:p>
    <w:tbl>
      <w:tblPr>
        <w:tblStyle w:val="9"/>
        <w:tblW w:w="9581" w:type="dxa"/>
        <w:tblInd w:w="95" w:type="dxa"/>
        <w:tblLayout w:type="fixed"/>
        <w:tblCellMar>
          <w:top w:w="0" w:type="dxa"/>
          <w:left w:w="108" w:type="dxa"/>
          <w:bottom w:w="0" w:type="dxa"/>
          <w:right w:w="108" w:type="dxa"/>
        </w:tblCellMar>
      </w:tblPr>
      <w:tblGrid>
        <w:gridCol w:w="1496"/>
        <w:gridCol w:w="3210"/>
        <w:gridCol w:w="510"/>
        <w:gridCol w:w="1560"/>
        <w:gridCol w:w="2805"/>
      </w:tblGrid>
      <w:tr>
        <w:tblPrEx>
          <w:tblCellMar>
            <w:top w:w="0" w:type="dxa"/>
            <w:left w:w="108" w:type="dxa"/>
            <w:bottom w:w="0" w:type="dxa"/>
            <w:right w:w="108" w:type="dxa"/>
          </w:tblCellMar>
        </w:tblPrEx>
        <w:trPr>
          <w:trHeight w:val="402" w:hRule="atLeast"/>
        </w:trPr>
        <w:tc>
          <w:tcPr>
            <w:tcW w:w="1496"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仿宋"/>
                <w:sz w:val="28"/>
                <w:szCs w:val="28"/>
              </w:rPr>
            </w:pPr>
            <w:r>
              <w:rPr>
                <w:rFonts w:hint="eastAsia" w:ascii="楷体" w:hAnsi="楷体" w:eastAsia="楷体" w:cs="仿宋"/>
                <w:sz w:val="28"/>
                <w:szCs w:val="28"/>
              </w:rPr>
              <w:t>名 称</w:t>
            </w:r>
          </w:p>
        </w:tc>
        <w:tc>
          <w:tcPr>
            <w:tcW w:w="3210" w:type="dxa"/>
            <w:tcBorders>
              <w:top w:val="single" w:color="auto" w:sz="4" w:space="0"/>
              <w:left w:val="nil"/>
              <w:bottom w:val="single" w:color="auto" w:sz="4" w:space="0"/>
              <w:right w:val="single" w:color="auto" w:sz="4" w:space="0"/>
            </w:tcBorders>
            <w:vAlign w:val="center"/>
          </w:tcPr>
          <w:p>
            <w:pPr>
              <w:jc w:val="center"/>
              <w:rPr>
                <w:rFonts w:ascii="楷体" w:hAnsi="楷体" w:eastAsia="楷体" w:cs="仿宋"/>
                <w:sz w:val="28"/>
                <w:szCs w:val="28"/>
              </w:rPr>
            </w:pPr>
            <w:r>
              <w:rPr>
                <w:rFonts w:hint="eastAsia" w:ascii="楷体" w:hAnsi="楷体" w:eastAsia="楷体" w:cs="仿宋"/>
                <w:sz w:val="28"/>
                <w:szCs w:val="28"/>
              </w:rPr>
              <w:t>桁架原材料组成通用规格型号</w:t>
            </w:r>
          </w:p>
        </w:tc>
        <w:tc>
          <w:tcPr>
            <w:tcW w:w="510" w:type="dxa"/>
            <w:tcBorders>
              <w:top w:val="single" w:color="auto" w:sz="4" w:space="0"/>
              <w:left w:val="nil"/>
              <w:bottom w:val="single" w:color="auto" w:sz="4" w:space="0"/>
              <w:right w:val="single" w:color="auto" w:sz="4" w:space="0"/>
            </w:tcBorders>
            <w:vAlign w:val="center"/>
          </w:tcPr>
          <w:p>
            <w:pPr>
              <w:rPr>
                <w:rFonts w:ascii="楷体" w:hAnsi="楷体" w:eastAsia="楷体" w:cs="仿宋"/>
                <w:sz w:val="28"/>
                <w:szCs w:val="28"/>
              </w:rPr>
            </w:pPr>
            <w:r>
              <w:rPr>
                <w:rFonts w:hint="eastAsia" w:ascii="楷体" w:hAnsi="楷体" w:eastAsia="楷体" w:cs="仿宋"/>
                <w:sz w:val="28"/>
                <w:szCs w:val="28"/>
              </w:rPr>
              <w:t>单位</w:t>
            </w:r>
          </w:p>
        </w:tc>
        <w:tc>
          <w:tcPr>
            <w:tcW w:w="1560" w:type="dxa"/>
            <w:tcBorders>
              <w:top w:val="single" w:color="auto" w:sz="4" w:space="0"/>
              <w:left w:val="nil"/>
              <w:bottom w:val="single" w:color="auto" w:sz="4" w:space="0"/>
              <w:right w:val="single" w:color="auto" w:sz="4" w:space="0"/>
            </w:tcBorders>
            <w:vAlign w:val="center"/>
          </w:tcPr>
          <w:p>
            <w:pPr>
              <w:jc w:val="center"/>
              <w:rPr>
                <w:rFonts w:ascii="楷体" w:hAnsi="楷体" w:eastAsia="楷体" w:cs="仿宋"/>
                <w:sz w:val="28"/>
                <w:szCs w:val="28"/>
              </w:rPr>
            </w:pPr>
            <w:r>
              <w:rPr>
                <w:rFonts w:hint="eastAsia" w:ascii="楷体" w:hAnsi="楷体" w:eastAsia="楷体" w:cs="仿宋"/>
                <w:sz w:val="28"/>
                <w:szCs w:val="28"/>
              </w:rPr>
              <w:t>高度要求</w:t>
            </w:r>
          </w:p>
        </w:tc>
        <w:tc>
          <w:tcPr>
            <w:tcW w:w="2805" w:type="dxa"/>
            <w:tcBorders>
              <w:top w:val="single" w:color="auto" w:sz="4" w:space="0"/>
              <w:left w:val="nil"/>
              <w:bottom w:val="single" w:color="auto" w:sz="4" w:space="0"/>
              <w:right w:val="single" w:color="auto" w:sz="4" w:space="0"/>
            </w:tcBorders>
            <w:vAlign w:val="center"/>
          </w:tcPr>
          <w:p>
            <w:pPr>
              <w:jc w:val="center"/>
              <w:rPr>
                <w:rFonts w:ascii="楷体" w:hAnsi="楷体" w:eastAsia="楷体" w:cs="仿宋"/>
                <w:sz w:val="28"/>
                <w:szCs w:val="28"/>
              </w:rPr>
            </w:pPr>
            <w:r>
              <w:rPr>
                <w:rFonts w:hint="eastAsia" w:ascii="楷体" w:hAnsi="楷体" w:eastAsia="楷体" w:cs="仿宋"/>
                <w:sz w:val="28"/>
                <w:szCs w:val="28"/>
              </w:rPr>
              <w:t>备注</w:t>
            </w:r>
          </w:p>
        </w:tc>
      </w:tr>
      <w:tr>
        <w:tblPrEx>
          <w:tblCellMar>
            <w:top w:w="0" w:type="dxa"/>
            <w:left w:w="108" w:type="dxa"/>
            <w:bottom w:w="0" w:type="dxa"/>
            <w:right w:w="108" w:type="dxa"/>
          </w:tblCellMar>
        </w:tblPrEx>
        <w:trPr>
          <w:trHeight w:val="2349" w:hRule="atLeast"/>
        </w:trPr>
        <w:tc>
          <w:tcPr>
            <w:tcW w:w="1496" w:type="dxa"/>
            <w:tcBorders>
              <w:top w:val="nil"/>
              <w:left w:val="single" w:color="auto" w:sz="4" w:space="0"/>
              <w:bottom w:val="single" w:color="auto" w:sz="4" w:space="0"/>
              <w:right w:val="single" w:color="auto" w:sz="4" w:space="0"/>
            </w:tcBorders>
            <w:vAlign w:val="center"/>
          </w:tcPr>
          <w:p>
            <w:pPr>
              <w:jc w:val="center"/>
              <w:rPr>
                <w:rFonts w:ascii="楷体" w:hAnsi="楷体" w:eastAsia="楷体" w:cs="仿宋"/>
                <w:sz w:val="28"/>
                <w:szCs w:val="28"/>
              </w:rPr>
            </w:pPr>
            <w:r>
              <w:rPr>
                <w:rFonts w:hint="eastAsia" w:ascii="楷体" w:hAnsi="楷体" w:eastAsia="楷体" w:cs="仿宋"/>
                <w:sz w:val="28"/>
                <w:szCs w:val="28"/>
              </w:rPr>
              <w:t>钢筋桁架</w:t>
            </w:r>
          </w:p>
        </w:tc>
        <w:tc>
          <w:tcPr>
            <w:tcW w:w="3210" w:type="dxa"/>
            <w:tcBorders>
              <w:top w:val="nil"/>
              <w:left w:val="single" w:color="auto" w:sz="4" w:space="0"/>
              <w:bottom w:val="single" w:color="auto" w:sz="4" w:space="0"/>
              <w:right w:val="single" w:color="auto" w:sz="4" w:space="0"/>
            </w:tcBorders>
            <w:vAlign w:val="center"/>
          </w:tcPr>
          <w:p>
            <w:pPr>
              <w:ind w:firstLine="280" w:firstLineChars="100"/>
              <w:rPr>
                <w:rFonts w:ascii="楷体" w:hAnsi="楷体" w:eastAsia="楷体" w:cs="仿宋"/>
                <w:sz w:val="28"/>
                <w:szCs w:val="28"/>
              </w:rPr>
            </w:pPr>
            <w:r>
              <w:rPr>
                <w:rFonts w:hint="eastAsia" w:ascii="楷体" w:hAnsi="楷体" w:eastAsia="楷体" w:cs="仿宋"/>
                <w:sz w:val="28"/>
                <w:szCs w:val="28"/>
              </w:rPr>
              <w:t>HRB400Eφ6、HRB400Eφ8、HRB400Eφ10、HPB300φ6.5（或φ6）</w:t>
            </w:r>
          </w:p>
        </w:tc>
        <w:tc>
          <w:tcPr>
            <w:tcW w:w="510" w:type="dxa"/>
            <w:tcBorders>
              <w:top w:val="nil"/>
              <w:left w:val="nil"/>
              <w:bottom w:val="single" w:color="auto" w:sz="4" w:space="0"/>
              <w:right w:val="single" w:color="auto" w:sz="4" w:space="0"/>
            </w:tcBorders>
            <w:vAlign w:val="center"/>
          </w:tcPr>
          <w:p>
            <w:pPr>
              <w:rPr>
                <w:rFonts w:ascii="楷体" w:hAnsi="楷体" w:eastAsia="楷体" w:cs="仿宋"/>
                <w:sz w:val="28"/>
                <w:szCs w:val="28"/>
              </w:rPr>
            </w:pPr>
            <w:r>
              <w:rPr>
                <w:rFonts w:hint="eastAsia" w:ascii="楷体" w:hAnsi="楷体" w:eastAsia="楷体" w:cs="仿宋"/>
                <w:sz w:val="28"/>
                <w:szCs w:val="28"/>
              </w:rPr>
              <w:t>吨</w:t>
            </w:r>
          </w:p>
        </w:tc>
        <w:tc>
          <w:tcPr>
            <w:tcW w:w="1560" w:type="dxa"/>
            <w:tcBorders>
              <w:top w:val="nil"/>
              <w:left w:val="nil"/>
              <w:bottom w:val="single" w:color="auto" w:sz="4" w:space="0"/>
              <w:right w:val="single" w:color="auto" w:sz="4" w:space="0"/>
            </w:tcBorders>
            <w:vAlign w:val="center"/>
          </w:tcPr>
          <w:p>
            <w:pPr>
              <w:rPr>
                <w:rFonts w:ascii="楷体" w:hAnsi="楷体" w:eastAsia="楷体" w:cs="仿宋"/>
                <w:sz w:val="28"/>
                <w:szCs w:val="28"/>
              </w:rPr>
            </w:pPr>
            <w:r>
              <w:rPr>
                <w:rFonts w:hint="eastAsia" w:ascii="楷体" w:hAnsi="楷体" w:eastAsia="楷体" w:cs="仿宋"/>
                <w:sz w:val="28"/>
                <w:szCs w:val="28"/>
              </w:rPr>
              <w:t>H70~H130</w:t>
            </w:r>
          </w:p>
        </w:tc>
        <w:tc>
          <w:tcPr>
            <w:tcW w:w="2805" w:type="dxa"/>
            <w:tcBorders>
              <w:top w:val="nil"/>
              <w:left w:val="single" w:color="auto" w:sz="4" w:space="0"/>
              <w:bottom w:val="single" w:color="auto" w:sz="4" w:space="0"/>
              <w:right w:val="single" w:color="auto" w:sz="4" w:space="0"/>
            </w:tcBorders>
            <w:vAlign w:val="center"/>
          </w:tcPr>
          <w:p>
            <w:pPr>
              <w:rPr>
                <w:rFonts w:ascii="楷体" w:hAnsi="楷体" w:eastAsia="楷体" w:cs="仿宋"/>
                <w:sz w:val="28"/>
                <w:szCs w:val="28"/>
              </w:rPr>
            </w:pPr>
            <w:r>
              <w:rPr>
                <w:rFonts w:hint="eastAsia" w:ascii="楷体" w:hAnsi="楷体" w:eastAsia="楷体" w:cs="仿宋"/>
                <w:sz w:val="28"/>
                <w:szCs w:val="28"/>
              </w:rPr>
              <w:t>图纸以比选人下单时加工图纸为准，根据到货通知安排送货（提前五天通知）</w:t>
            </w:r>
          </w:p>
        </w:tc>
      </w:tr>
    </w:tbl>
    <w:p>
      <w:pPr>
        <w:ind w:firstLine="560" w:firstLineChars="200"/>
        <w:rPr>
          <w:rFonts w:ascii="楷体" w:hAnsi="楷体" w:eastAsia="楷体" w:cs="仿宋"/>
          <w:sz w:val="28"/>
          <w:szCs w:val="28"/>
        </w:rPr>
      </w:pPr>
      <w:r>
        <w:rPr>
          <w:rFonts w:hint="eastAsia" w:ascii="楷体" w:hAnsi="楷体" w:eastAsia="楷体" w:cs="仿宋"/>
          <w:sz w:val="28"/>
          <w:szCs w:val="28"/>
        </w:rPr>
        <w:t>2、供货周期：</w:t>
      </w:r>
      <w:r>
        <w:rPr>
          <w:rFonts w:hint="eastAsia" w:ascii="楷体" w:hAnsi="楷体" w:eastAsia="楷体"/>
          <w:kern w:val="0"/>
          <w:sz w:val="28"/>
          <w:szCs w:val="28"/>
        </w:rPr>
        <w:t>比选</w:t>
      </w:r>
      <w:r>
        <w:rPr>
          <w:rFonts w:hint="eastAsia" w:ascii="楷体" w:hAnsi="楷体" w:eastAsia="楷体"/>
          <w:sz w:val="28"/>
          <w:szCs w:val="28"/>
        </w:rPr>
        <w:t>人根据进度计划分批次提前5天提供到货计划，中选人必须按计划的到场日期供应。</w:t>
      </w:r>
    </w:p>
    <w:p>
      <w:pPr>
        <w:spacing w:line="20" w:lineRule="atLeast"/>
        <w:ind w:firstLine="560" w:firstLineChars="200"/>
        <w:jc w:val="left"/>
        <w:rPr>
          <w:rFonts w:ascii="楷体" w:hAnsi="楷体" w:eastAsia="楷体" w:cs="仿宋"/>
          <w:sz w:val="28"/>
          <w:szCs w:val="28"/>
        </w:rPr>
      </w:pPr>
      <w:r>
        <w:rPr>
          <w:rFonts w:hint="eastAsia" w:ascii="楷体" w:hAnsi="楷体" w:eastAsia="楷体" w:cs="仿宋"/>
          <w:sz w:val="28"/>
          <w:szCs w:val="28"/>
        </w:rPr>
        <w:t>3、交货时间：以比选人到货通知为准，根据到货通知批量到货。</w:t>
      </w:r>
    </w:p>
    <w:p>
      <w:pPr>
        <w:ind w:firstLine="560" w:firstLineChars="200"/>
        <w:rPr>
          <w:rFonts w:ascii="楷体" w:hAnsi="楷体" w:eastAsia="楷体" w:cs="仿宋"/>
          <w:sz w:val="28"/>
          <w:szCs w:val="28"/>
        </w:rPr>
      </w:pPr>
      <w:r>
        <w:rPr>
          <w:rFonts w:hint="eastAsia" w:ascii="楷体" w:hAnsi="楷体" w:eastAsia="楷体" w:cs="仿宋"/>
          <w:sz w:val="28"/>
          <w:szCs w:val="28"/>
        </w:rPr>
        <w:t>4、交货地点：泸州市纳溪区科技园西部绿色智能住宅产业园区。</w:t>
      </w:r>
    </w:p>
    <w:p>
      <w:pPr>
        <w:ind w:firstLine="560" w:firstLineChars="200"/>
        <w:rPr>
          <w:rFonts w:ascii="楷体" w:hAnsi="楷体" w:eastAsia="楷体"/>
          <w:kern w:val="0"/>
          <w:sz w:val="28"/>
          <w:szCs w:val="28"/>
        </w:rPr>
      </w:pPr>
      <w:r>
        <w:rPr>
          <w:rFonts w:hint="eastAsia" w:ascii="楷体" w:hAnsi="楷体" w:eastAsia="楷体" w:cs="仿宋"/>
          <w:sz w:val="28"/>
          <w:szCs w:val="28"/>
        </w:rPr>
        <w:t>5、原材料生产厂家要求：</w:t>
      </w:r>
      <w:r>
        <w:rPr>
          <w:rFonts w:hint="eastAsia" w:ascii="楷体" w:hAnsi="楷体" w:eastAsia="楷体"/>
          <w:kern w:val="0"/>
          <w:sz w:val="28"/>
          <w:szCs w:val="28"/>
        </w:rPr>
        <w:t>《</w:t>
      </w:r>
      <w:r>
        <w:rPr>
          <w:rFonts w:hint="eastAsia" w:ascii="楷体" w:hAnsi="楷体" w:eastAsia="楷体"/>
          <w:color w:val="0000FF"/>
          <w:kern w:val="0"/>
          <w:sz w:val="28"/>
          <w:szCs w:val="28"/>
        </w:rPr>
        <w:t>我的钢铁网</w:t>
      </w:r>
      <w:r>
        <w:rPr>
          <w:rFonts w:hint="eastAsia" w:ascii="楷体" w:hAnsi="楷体" w:eastAsia="楷体"/>
          <w:kern w:val="0"/>
          <w:sz w:val="28"/>
          <w:szCs w:val="28"/>
        </w:rPr>
        <w:t>》（</w:t>
      </w:r>
      <w:r>
        <w:rPr>
          <w:rFonts w:hint="eastAsia" w:ascii="楷体" w:hAnsi="楷体" w:eastAsia="楷体"/>
          <w:color w:val="0000FF"/>
          <w:kern w:val="0"/>
          <w:sz w:val="28"/>
          <w:szCs w:val="28"/>
        </w:rPr>
        <w:t>http://www.mysteel.com</w:t>
      </w:r>
      <w:r>
        <w:rPr>
          <w:rFonts w:hint="eastAsia" w:ascii="楷体" w:hAnsi="楷体" w:eastAsia="楷体"/>
          <w:kern w:val="0"/>
          <w:sz w:val="28"/>
          <w:szCs w:val="28"/>
        </w:rPr>
        <w:t xml:space="preserve"> ）《成都市场建筑钢材价格行情》中有的厂家即可，比选人根据项目需求若需指定该项目原材料厂家，比选申请人必须予以接受。</w:t>
      </w:r>
    </w:p>
    <w:p>
      <w:pPr>
        <w:spacing w:line="20" w:lineRule="atLeast"/>
        <w:ind w:firstLine="560" w:firstLineChars="200"/>
        <w:jc w:val="left"/>
        <w:rPr>
          <w:rFonts w:ascii="楷体" w:hAnsi="楷体" w:eastAsia="楷体"/>
          <w:kern w:val="0"/>
          <w:sz w:val="28"/>
          <w:szCs w:val="28"/>
        </w:rPr>
      </w:pPr>
      <w:r>
        <w:rPr>
          <w:rFonts w:hint="eastAsia" w:ascii="楷体" w:hAnsi="楷体" w:eastAsia="楷体"/>
          <w:kern w:val="0"/>
          <w:sz w:val="28"/>
          <w:szCs w:val="28"/>
        </w:rPr>
        <w:t>6、计量规则：均以过磅为准，每车次磅差在±3‰之内视为合理，即按买方过磅重量（买方场内地磅）验收。若磅差超过±3‰，则买卖双方均可提出复磅，复磅结果磅差在±3‰以内，按买方厂内过磅重量结算；复磅结果磅差仍超出±3‰，则按复磅实际重量结算。复磅费均由卖方承担。</w:t>
      </w:r>
    </w:p>
    <w:p>
      <w:pPr>
        <w:ind w:firstLine="560" w:firstLineChars="200"/>
        <w:rPr>
          <w:rFonts w:ascii="楷体" w:hAnsi="楷体" w:eastAsia="楷体"/>
          <w:kern w:val="0"/>
          <w:sz w:val="28"/>
          <w:szCs w:val="28"/>
        </w:rPr>
      </w:pPr>
      <w:r>
        <w:rPr>
          <w:rFonts w:hint="eastAsia" w:ascii="楷体" w:hAnsi="楷体" w:eastAsia="楷体"/>
          <w:kern w:val="0"/>
          <w:sz w:val="28"/>
          <w:szCs w:val="28"/>
        </w:rPr>
        <w:t>7、</w:t>
      </w:r>
      <w:r>
        <w:rPr>
          <w:rFonts w:hint="eastAsia" w:ascii="楷体" w:hAnsi="楷体" w:eastAsia="楷体" w:cs="仿宋"/>
          <w:sz w:val="28"/>
          <w:szCs w:val="28"/>
        </w:rPr>
        <w:t>供货周期及供货数量：供货周期为合同签订日起一年，供货数量以实际到货数量为准，定价方式不变。</w:t>
      </w:r>
    </w:p>
    <w:p>
      <w:pPr>
        <w:rPr>
          <w:rFonts w:ascii="楷体" w:hAnsi="楷体" w:eastAsia="楷体" w:cs="仿宋"/>
          <w:b/>
          <w:bCs/>
          <w:sz w:val="28"/>
          <w:szCs w:val="28"/>
        </w:rPr>
      </w:pPr>
      <w:bookmarkStart w:id="2" w:name="_Toc478669138"/>
      <w:bookmarkEnd w:id="2"/>
      <w:r>
        <w:rPr>
          <w:rFonts w:hint="eastAsia" w:ascii="楷体" w:hAnsi="楷体" w:eastAsia="楷体" w:cs="仿宋"/>
          <w:b/>
          <w:bCs/>
          <w:sz w:val="28"/>
          <w:szCs w:val="28"/>
        </w:rPr>
        <w:t>三、比选申请人资格要求</w:t>
      </w:r>
    </w:p>
    <w:p>
      <w:pPr>
        <w:widowControl/>
        <w:ind w:left="-61" w:leftChars="-29" w:firstLine="627" w:firstLineChars="224"/>
        <w:rPr>
          <w:rFonts w:ascii="楷体" w:hAnsi="楷体" w:eastAsia="楷体" w:cs="仿宋"/>
          <w:sz w:val="28"/>
          <w:szCs w:val="28"/>
        </w:rPr>
      </w:pPr>
      <w:r>
        <w:rPr>
          <w:rFonts w:hint="eastAsia" w:ascii="楷体" w:hAnsi="楷体" w:eastAsia="楷体" w:cs="仿宋"/>
          <w:sz w:val="28"/>
          <w:szCs w:val="28"/>
        </w:rPr>
        <w:t>1、具有独立法人资格，能独立承担民事责任；</w:t>
      </w:r>
    </w:p>
    <w:p>
      <w:pPr>
        <w:widowControl/>
        <w:ind w:left="-61" w:leftChars="-29" w:firstLine="627" w:firstLineChars="224"/>
        <w:rPr>
          <w:rFonts w:ascii="楷体" w:hAnsi="楷体" w:eastAsia="楷体" w:cs="仿宋"/>
          <w:sz w:val="28"/>
          <w:szCs w:val="28"/>
        </w:rPr>
      </w:pPr>
      <w:r>
        <w:rPr>
          <w:rFonts w:hint="eastAsia" w:ascii="楷体" w:hAnsi="楷体" w:eastAsia="楷体" w:cs="仿宋"/>
          <w:sz w:val="28"/>
          <w:szCs w:val="28"/>
        </w:rPr>
        <w:t>2、比选申请人经营范围须包含建材销售类经营范围；</w:t>
      </w:r>
    </w:p>
    <w:p>
      <w:pPr>
        <w:tabs>
          <w:tab w:val="left" w:pos="7665"/>
        </w:tabs>
        <w:spacing w:line="360" w:lineRule="auto"/>
        <w:ind w:firstLine="565" w:firstLineChars="202"/>
        <w:rPr>
          <w:rFonts w:ascii="楷体" w:hAnsi="楷体" w:eastAsia="楷体" w:cs="仿宋"/>
          <w:sz w:val="28"/>
          <w:szCs w:val="28"/>
        </w:rPr>
      </w:pPr>
      <w:r>
        <w:rPr>
          <w:rFonts w:hint="eastAsia" w:ascii="楷体" w:hAnsi="楷体" w:eastAsia="楷体" w:cs="仿宋"/>
          <w:sz w:val="28"/>
          <w:szCs w:val="28"/>
        </w:rPr>
        <w:t>3、具有一般纳税人资格;</w:t>
      </w:r>
    </w:p>
    <w:p>
      <w:pPr>
        <w:tabs>
          <w:tab w:val="left" w:pos="7665"/>
        </w:tabs>
        <w:spacing w:line="360" w:lineRule="auto"/>
        <w:ind w:firstLine="565" w:firstLineChars="202"/>
        <w:rPr>
          <w:rFonts w:ascii="楷体" w:hAnsi="楷体" w:eastAsia="楷体" w:cs="仿宋"/>
          <w:sz w:val="28"/>
          <w:szCs w:val="28"/>
        </w:rPr>
      </w:pPr>
      <w:r>
        <w:rPr>
          <w:rFonts w:hint="eastAsia" w:ascii="楷体" w:hAnsi="楷体" w:eastAsia="楷体" w:cs="仿宋"/>
          <w:sz w:val="28"/>
          <w:szCs w:val="28"/>
        </w:rPr>
        <w:t>4、本次招标不接收联合体投标；</w:t>
      </w:r>
    </w:p>
    <w:p>
      <w:pPr>
        <w:ind w:firstLine="565" w:firstLineChars="202"/>
        <w:rPr>
          <w:rFonts w:ascii="楷体" w:hAnsi="楷体" w:eastAsia="楷体" w:cs="仿宋"/>
          <w:sz w:val="28"/>
          <w:szCs w:val="28"/>
        </w:rPr>
      </w:pPr>
      <w:r>
        <w:rPr>
          <w:rFonts w:hint="eastAsia" w:ascii="楷体" w:hAnsi="楷体" w:eastAsia="楷体" w:cs="仿宋"/>
          <w:sz w:val="28"/>
          <w:szCs w:val="28"/>
        </w:rPr>
        <w:t>5、法律、行政法规规定的其他条件。</w:t>
      </w:r>
    </w:p>
    <w:p>
      <w:pPr>
        <w:rPr>
          <w:rFonts w:ascii="楷体" w:hAnsi="楷体" w:eastAsia="楷体" w:cs="仿宋"/>
          <w:b/>
          <w:bCs/>
          <w:sz w:val="28"/>
          <w:szCs w:val="28"/>
        </w:rPr>
      </w:pPr>
      <w:r>
        <w:rPr>
          <w:rFonts w:hint="eastAsia" w:ascii="楷体" w:hAnsi="楷体" w:eastAsia="楷体" w:cs="仿宋"/>
          <w:b/>
          <w:bCs/>
          <w:sz w:val="28"/>
          <w:szCs w:val="28"/>
        </w:rPr>
        <w:t>四、比选文件的获取和比选申请文件的递交</w:t>
      </w:r>
    </w:p>
    <w:p>
      <w:pPr>
        <w:ind w:firstLine="560" w:firstLineChars="200"/>
        <w:rPr>
          <w:rFonts w:ascii="楷体" w:hAnsi="楷体" w:eastAsia="楷体" w:cs="仿宋"/>
          <w:sz w:val="28"/>
          <w:szCs w:val="28"/>
        </w:rPr>
      </w:pPr>
      <w:r>
        <w:rPr>
          <w:rFonts w:hint="eastAsia" w:ascii="楷体" w:hAnsi="楷体" w:eastAsia="楷体" w:cs="仿宋"/>
          <w:sz w:val="28"/>
          <w:szCs w:val="28"/>
        </w:rPr>
        <w:t>1、凡满足本公告规定的比选申请人资格要求并有意参加比选的，请于2020年</w:t>
      </w:r>
      <w:r>
        <w:rPr>
          <w:rFonts w:hint="eastAsia" w:ascii="楷体" w:hAnsi="楷体" w:eastAsia="楷体" w:cs="仿宋"/>
          <w:sz w:val="28"/>
          <w:szCs w:val="28"/>
          <w:lang w:val="en-US" w:eastAsia="zh-CN"/>
        </w:rPr>
        <w:t>7</w:t>
      </w:r>
      <w:r>
        <w:rPr>
          <w:rFonts w:hint="eastAsia" w:ascii="楷体" w:hAnsi="楷体" w:eastAsia="楷体" w:cs="仿宋"/>
          <w:sz w:val="28"/>
          <w:szCs w:val="28"/>
        </w:rPr>
        <w:t>月</w:t>
      </w:r>
      <w:r>
        <w:rPr>
          <w:rFonts w:hint="eastAsia" w:ascii="楷体" w:hAnsi="楷体" w:eastAsia="楷体" w:cs="仿宋"/>
          <w:sz w:val="28"/>
          <w:szCs w:val="28"/>
          <w:lang w:val="en-US" w:eastAsia="zh-CN"/>
        </w:rPr>
        <w:t>1</w:t>
      </w:r>
      <w:r>
        <w:rPr>
          <w:rFonts w:hint="eastAsia" w:ascii="楷体" w:hAnsi="楷体" w:eastAsia="楷体" w:cs="仿宋"/>
          <w:sz w:val="28"/>
          <w:szCs w:val="28"/>
        </w:rPr>
        <w:t>日至2020年</w:t>
      </w:r>
      <w:r>
        <w:rPr>
          <w:rFonts w:hint="eastAsia" w:ascii="楷体" w:hAnsi="楷体" w:eastAsia="楷体" w:cs="仿宋"/>
          <w:sz w:val="28"/>
          <w:szCs w:val="28"/>
          <w:lang w:val="en-US" w:eastAsia="zh-CN"/>
        </w:rPr>
        <w:t>7</w:t>
      </w:r>
      <w:r>
        <w:rPr>
          <w:rFonts w:hint="eastAsia" w:ascii="楷体" w:hAnsi="楷体" w:eastAsia="楷体" w:cs="仿宋"/>
          <w:sz w:val="28"/>
          <w:szCs w:val="28"/>
          <w:lang w:eastAsia="zh-CN"/>
        </w:rPr>
        <w:t>月</w:t>
      </w:r>
      <w:r>
        <w:rPr>
          <w:rFonts w:hint="eastAsia" w:ascii="楷体" w:hAnsi="楷体" w:eastAsia="楷体" w:cs="仿宋"/>
          <w:sz w:val="28"/>
          <w:szCs w:val="28"/>
          <w:lang w:val="en-US" w:eastAsia="zh-CN"/>
        </w:rPr>
        <w:t>9</w:t>
      </w:r>
      <w:bookmarkStart w:id="6" w:name="_GoBack"/>
      <w:bookmarkEnd w:id="6"/>
      <w:r>
        <w:rPr>
          <w:rFonts w:hint="eastAsia" w:ascii="楷体" w:hAnsi="楷体" w:eastAsia="楷体" w:cs="仿宋"/>
          <w:sz w:val="28"/>
          <w:szCs w:val="28"/>
        </w:rPr>
        <w:t>日免费获取比选文件，凭经办人身份证和法定代表人签发的针对本项目购买比选文件授权委托书，到泸州市纳溪区棉花坡皮匠屋基PC工厂办公楼2楼生产部办理。</w:t>
      </w:r>
    </w:p>
    <w:p>
      <w:pPr>
        <w:ind w:firstLine="560" w:firstLineChars="200"/>
        <w:rPr>
          <w:rFonts w:ascii="楷体" w:hAnsi="楷体" w:eastAsia="楷体" w:cs="仿宋"/>
          <w:sz w:val="28"/>
          <w:szCs w:val="28"/>
        </w:rPr>
      </w:pPr>
      <w:r>
        <w:rPr>
          <w:rFonts w:hint="eastAsia" w:ascii="楷体" w:hAnsi="楷体" w:eastAsia="楷体" w:cs="仿宋"/>
          <w:sz w:val="28"/>
          <w:szCs w:val="28"/>
        </w:rPr>
        <w:t>2、比选申请文件递交的截止时间（比选申请截止时间，下同）为2020年</w:t>
      </w:r>
      <w:r>
        <w:rPr>
          <w:rFonts w:hint="eastAsia" w:ascii="楷体" w:hAnsi="楷体" w:eastAsia="楷体" w:cs="仿宋"/>
          <w:sz w:val="28"/>
          <w:szCs w:val="28"/>
          <w:lang w:val="en-US" w:eastAsia="zh-CN"/>
        </w:rPr>
        <w:t>7</w:t>
      </w:r>
      <w:r>
        <w:rPr>
          <w:rFonts w:hint="eastAsia" w:ascii="楷体" w:hAnsi="楷体" w:eastAsia="楷体" w:cs="仿宋"/>
          <w:sz w:val="28"/>
          <w:szCs w:val="28"/>
        </w:rPr>
        <w:t>月</w:t>
      </w:r>
      <w:r>
        <w:rPr>
          <w:rFonts w:hint="eastAsia" w:ascii="楷体" w:hAnsi="楷体" w:eastAsia="楷体" w:cs="仿宋"/>
          <w:sz w:val="28"/>
          <w:szCs w:val="28"/>
          <w:lang w:val="en-US" w:eastAsia="zh-CN"/>
        </w:rPr>
        <w:t>10</w:t>
      </w:r>
      <w:r>
        <w:rPr>
          <w:rFonts w:hint="eastAsia" w:ascii="楷体" w:hAnsi="楷体" w:eastAsia="楷体" w:cs="仿宋"/>
          <w:sz w:val="28"/>
          <w:szCs w:val="28"/>
        </w:rPr>
        <w:t>日</w:t>
      </w:r>
      <w:r>
        <w:rPr>
          <w:rFonts w:hint="eastAsia" w:ascii="楷体" w:hAnsi="楷体" w:eastAsia="楷体" w:cs="仿宋"/>
          <w:sz w:val="28"/>
          <w:szCs w:val="28"/>
          <w:lang w:val="en-US" w:eastAsia="zh-CN"/>
        </w:rPr>
        <w:t>9</w:t>
      </w:r>
      <w:r>
        <w:rPr>
          <w:rFonts w:hint="eastAsia" w:ascii="楷体" w:hAnsi="楷体" w:eastAsia="楷体" w:cs="仿宋"/>
          <w:sz w:val="28"/>
          <w:szCs w:val="28"/>
        </w:rPr>
        <w:t>时30分（北京时间），比选申请文件递交地点：泸州市纳溪区棉花坡皮匠屋基PC工厂办公楼3楼会议室。</w:t>
      </w:r>
    </w:p>
    <w:p>
      <w:pPr>
        <w:ind w:firstLine="560" w:firstLineChars="200"/>
        <w:rPr>
          <w:rFonts w:ascii="楷体" w:hAnsi="楷体" w:eastAsia="楷体" w:cs="仿宋"/>
          <w:sz w:val="28"/>
          <w:szCs w:val="28"/>
        </w:rPr>
      </w:pPr>
      <w:r>
        <w:rPr>
          <w:rFonts w:hint="eastAsia" w:ascii="楷体" w:hAnsi="楷体" w:eastAsia="楷体" w:cs="仿宋"/>
          <w:sz w:val="28"/>
          <w:szCs w:val="28"/>
        </w:rPr>
        <w:t>3、逾期送达的或未送达指定地点的比选申请文件，比选人不予受理。</w:t>
      </w:r>
    </w:p>
    <w:p>
      <w:pPr>
        <w:ind w:firstLine="560" w:firstLineChars="200"/>
        <w:rPr>
          <w:rFonts w:ascii="楷体" w:hAnsi="楷体" w:eastAsia="楷体" w:cs="仿宋"/>
          <w:sz w:val="28"/>
          <w:szCs w:val="28"/>
        </w:rPr>
      </w:pPr>
      <w:r>
        <w:rPr>
          <w:rFonts w:hint="eastAsia" w:ascii="楷体" w:hAnsi="楷体" w:eastAsia="楷体" w:cs="仿宋"/>
          <w:sz w:val="28"/>
          <w:szCs w:val="28"/>
        </w:rPr>
        <w:t>4、比选截止时间、递交地点及内容如有变动，比选人应通知所有已购买比选文件的潜在比选申请人，并在官网（http://ydjz.lzxljt.cn/、http://ydjz.lzxljt.cn/）发出澄清或补遗。</w:t>
      </w:r>
    </w:p>
    <w:p>
      <w:pPr>
        <w:rPr>
          <w:rFonts w:ascii="楷体" w:hAnsi="楷体" w:eastAsia="楷体" w:cs="仿宋"/>
          <w:b/>
          <w:bCs/>
          <w:sz w:val="28"/>
          <w:szCs w:val="28"/>
        </w:rPr>
      </w:pPr>
      <w:r>
        <w:rPr>
          <w:rFonts w:hint="eastAsia" w:ascii="楷体" w:hAnsi="楷体" w:eastAsia="楷体" w:cs="仿宋"/>
          <w:b/>
          <w:bCs/>
          <w:sz w:val="28"/>
          <w:szCs w:val="28"/>
        </w:rPr>
        <w:t>五、保证金：</w:t>
      </w:r>
    </w:p>
    <w:p>
      <w:pPr>
        <w:ind w:firstLine="560" w:firstLineChars="200"/>
        <w:rPr>
          <w:rFonts w:ascii="楷体" w:hAnsi="楷体" w:eastAsia="楷体" w:cs="仿宋"/>
          <w:sz w:val="28"/>
          <w:szCs w:val="28"/>
        </w:rPr>
      </w:pPr>
      <w:r>
        <w:rPr>
          <w:rFonts w:hint="eastAsia" w:ascii="楷体" w:hAnsi="楷体" w:eastAsia="楷体" w:cs="仿宋"/>
          <w:sz w:val="28"/>
          <w:szCs w:val="28"/>
        </w:rPr>
        <w:t>1</w:t>
      </w:r>
      <w:r>
        <w:rPr>
          <w:rFonts w:hint="eastAsia" w:ascii="楷体" w:hAnsi="楷体" w:eastAsia="楷体" w:cs="仿宋"/>
          <w:b/>
          <w:bCs/>
          <w:sz w:val="28"/>
          <w:szCs w:val="28"/>
        </w:rPr>
        <w:t>、</w:t>
      </w:r>
      <w:r>
        <w:rPr>
          <w:rFonts w:hint="eastAsia" w:ascii="楷体" w:hAnsi="楷体" w:eastAsia="楷体" w:cs="仿宋"/>
          <w:sz w:val="28"/>
          <w:szCs w:val="28"/>
        </w:rPr>
        <w:t>比选保证金为</w:t>
      </w:r>
      <w:r>
        <w:rPr>
          <w:rFonts w:hint="eastAsia" w:ascii="楷体" w:hAnsi="楷体" w:eastAsia="楷体" w:cs="仿宋"/>
          <w:sz w:val="28"/>
          <w:szCs w:val="28"/>
          <w:highlight w:val="none"/>
        </w:rPr>
        <w:t>5000元</w:t>
      </w:r>
      <w:r>
        <w:rPr>
          <w:rFonts w:hint="eastAsia" w:ascii="楷体" w:hAnsi="楷体" w:eastAsia="楷体" w:cs="仿宋"/>
          <w:sz w:val="28"/>
          <w:szCs w:val="28"/>
        </w:rPr>
        <w:t>，比选截止前未缴纳视为无效报价，开标后7日内无息退还。未中选的比选申请人的比选保证金在开标后10个工作日内无息退还。</w:t>
      </w:r>
    </w:p>
    <w:p>
      <w:pPr>
        <w:ind w:firstLine="560" w:firstLineChars="200"/>
        <w:rPr>
          <w:rFonts w:ascii="楷体" w:hAnsi="楷体" w:eastAsia="楷体" w:cs="仿宋"/>
          <w:sz w:val="28"/>
          <w:szCs w:val="28"/>
        </w:rPr>
      </w:pPr>
      <w:r>
        <w:rPr>
          <w:rFonts w:hint="eastAsia" w:ascii="楷体" w:hAnsi="楷体" w:eastAsia="楷体" w:cs="仿宋"/>
          <w:sz w:val="28"/>
          <w:szCs w:val="28"/>
        </w:rPr>
        <w:t>有下列情形之一的，比选保证金将不予退还：</w:t>
      </w:r>
    </w:p>
    <w:p>
      <w:pPr>
        <w:ind w:firstLine="560" w:firstLineChars="200"/>
        <w:rPr>
          <w:rFonts w:ascii="楷体" w:hAnsi="楷体" w:eastAsia="楷体" w:cs="仿宋"/>
          <w:sz w:val="28"/>
          <w:szCs w:val="28"/>
        </w:rPr>
      </w:pPr>
      <w:r>
        <w:rPr>
          <w:rFonts w:hint="eastAsia" w:ascii="楷体" w:hAnsi="楷体" w:eastAsia="楷体" w:cs="仿宋"/>
          <w:sz w:val="28"/>
          <w:szCs w:val="28"/>
        </w:rPr>
        <w:t>（1）开标后在比选申请有效期内撤销其比选申请文件；</w:t>
      </w:r>
    </w:p>
    <w:p>
      <w:pPr>
        <w:ind w:firstLine="560" w:firstLineChars="200"/>
        <w:rPr>
          <w:rFonts w:ascii="楷体" w:hAnsi="楷体" w:eastAsia="楷体" w:cs="仿宋"/>
          <w:sz w:val="28"/>
          <w:szCs w:val="28"/>
        </w:rPr>
      </w:pPr>
      <w:r>
        <w:rPr>
          <w:rFonts w:hint="eastAsia" w:ascii="楷体" w:hAnsi="楷体" w:eastAsia="楷体" w:cs="仿宋"/>
          <w:sz w:val="28"/>
          <w:szCs w:val="28"/>
        </w:rPr>
        <w:t>（2）开标时，扰乱会场秩序，经劝阻无效；</w:t>
      </w:r>
    </w:p>
    <w:p>
      <w:pPr>
        <w:ind w:firstLine="560" w:firstLineChars="200"/>
        <w:rPr>
          <w:rFonts w:ascii="楷体" w:hAnsi="楷体" w:eastAsia="楷体" w:cs="仿宋"/>
          <w:sz w:val="28"/>
          <w:szCs w:val="28"/>
        </w:rPr>
      </w:pPr>
      <w:r>
        <w:rPr>
          <w:rFonts w:hint="eastAsia" w:ascii="楷体" w:hAnsi="楷体" w:eastAsia="楷体" w:cs="仿宋"/>
          <w:sz w:val="28"/>
          <w:szCs w:val="28"/>
        </w:rPr>
        <w:t>（3）由于比选申请人的原因致使比选工作不能顺利进行的；</w:t>
      </w:r>
    </w:p>
    <w:p>
      <w:pPr>
        <w:ind w:firstLine="560" w:firstLineChars="200"/>
        <w:rPr>
          <w:rFonts w:ascii="楷体" w:hAnsi="楷体" w:eastAsia="楷体" w:cs="仿宋"/>
          <w:sz w:val="28"/>
          <w:szCs w:val="28"/>
        </w:rPr>
      </w:pPr>
      <w:r>
        <w:rPr>
          <w:rFonts w:hint="eastAsia" w:ascii="楷体" w:hAnsi="楷体" w:eastAsia="楷体" w:cs="仿宋"/>
          <w:sz w:val="28"/>
          <w:szCs w:val="28"/>
        </w:rPr>
        <w:t>（4）比选申请人以他人名义投标、串通投标、哄抬标价、以行贿手段谋取中选或者以其它弄虚作假方式投标的；</w:t>
      </w:r>
    </w:p>
    <w:p>
      <w:pPr>
        <w:ind w:firstLine="560" w:firstLineChars="200"/>
        <w:rPr>
          <w:rFonts w:ascii="楷体" w:hAnsi="楷体" w:eastAsia="楷体" w:cs="仿宋"/>
          <w:sz w:val="28"/>
          <w:szCs w:val="28"/>
        </w:rPr>
      </w:pPr>
      <w:r>
        <w:rPr>
          <w:rFonts w:hint="eastAsia" w:ascii="楷体" w:hAnsi="楷体" w:eastAsia="楷体" w:cs="仿宋"/>
          <w:sz w:val="28"/>
          <w:szCs w:val="28"/>
        </w:rPr>
        <w:t xml:space="preserve">（5）有关法律、法规规定的其它不予退还比选保证金的情形。     </w:t>
      </w:r>
    </w:p>
    <w:p>
      <w:pPr>
        <w:ind w:firstLine="560" w:firstLineChars="200"/>
        <w:rPr>
          <w:rFonts w:ascii="楷体" w:hAnsi="楷体" w:eastAsia="楷体" w:cs="仿宋"/>
          <w:b/>
          <w:bCs/>
          <w:sz w:val="28"/>
          <w:szCs w:val="28"/>
        </w:rPr>
      </w:pPr>
      <w:r>
        <w:rPr>
          <w:rFonts w:hint="eastAsia" w:ascii="楷体" w:hAnsi="楷体" w:eastAsia="楷体" w:cs="仿宋"/>
          <w:sz w:val="28"/>
          <w:szCs w:val="28"/>
        </w:rPr>
        <w:t>2、履约保证金</w:t>
      </w:r>
      <w:r>
        <w:rPr>
          <w:rFonts w:hint="eastAsia" w:ascii="楷体" w:hAnsi="楷体" w:eastAsia="楷体" w:cs="仿宋"/>
          <w:sz w:val="28"/>
          <w:szCs w:val="28"/>
          <w:highlight w:val="none"/>
        </w:rPr>
        <w:t>1万元</w:t>
      </w:r>
      <w:r>
        <w:rPr>
          <w:rFonts w:hint="eastAsia" w:ascii="楷体" w:hAnsi="楷体" w:eastAsia="楷体" w:cs="仿宋"/>
          <w:sz w:val="28"/>
          <w:szCs w:val="28"/>
        </w:rPr>
        <w:t>，签订合同前缴纳，合同履行完毕并经结算后7日内无息退还。</w:t>
      </w:r>
    </w:p>
    <w:p>
      <w:pPr>
        <w:rPr>
          <w:rFonts w:ascii="楷体" w:hAnsi="楷体" w:eastAsia="楷体" w:cs="楷体"/>
          <w:b/>
          <w:bCs/>
          <w:sz w:val="28"/>
          <w:szCs w:val="28"/>
        </w:rPr>
      </w:pPr>
      <w:r>
        <w:rPr>
          <w:rFonts w:hint="eastAsia" w:ascii="楷体" w:hAnsi="楷体" w:eastAsia="楷体" w:cs="楷体"/>
          <w:b/>
          <w:bCs/>
          <w:sz w:val="28"/>
          <w:szCs w:val="28"/>
        </w:rPr>
        <w:t>六、评标办法及最高限价</w:t>
      </w:r>
    </w:p>
    <w:p>
      <w:pPr>
        <w:ind w:firstLine="560" w:firstLineChars="200"/>
        <w:rPr>
          <w:rFonts w:ascii="楷体" w:hAnsi="楷体" w:eastAsia="楷体" w:cs="楷体"/>
          <w:color w:val="auto"/>
          <w:sz w:val="28"/>
          <w:szCs w:val="28"/>
        </w:rPr>
      </w:pPr>
      <w:r>
        <w:rPr>
          <w:rFonts w:hint="eastAsia" w:ascii="楷体" w:hAnsi="楷体" w:eastAsia="楷体" w:cs="楷体"/>
          <w:sz w:val="28"/>
          <w:szCs w:val="28"/>
        </w:rPr>
        <w:t>采用最低投标价法，仅报固定金额，</w:t>
      </w:r>
      <w:r>
        <w:rPr>
          <w:rFonts w:hint="eastAsia" w:ascii="楷体" w:hAnsi="楷体" w:eastAsia="楷体" w:cs="楷体"/>
          <w:color w:val="auto"/>
          <w:sz w:val="28"/>
          <w:szCs w:val="28"/>
        </w:rPr>
        <w:t>指在“我的钢铁网”成都市钢筋基价上进行上浮报价，最高限价上浮金额不超过1450元，超过限价的视为无效报价。</w:t>
      </w:r>
    </w:p>
    <w:p>
      <w:pPr>
        <w:rPr>
          <w:rFonts w:ascii="楷体" w:hAnsi="楷体" w:eastAsia="楷体" w:cs="楷体"/>
          <w:b/>
          <w:bCs/>
          <w:sz w:val="28"/>
          <w:szCs w:val="28"/>
        </w:rPr>
      </w:pPr>
      <w:r>
        <w:rPr>
          <w:rFonts w:hint="eastAsia" w:ascii="楷体" w:hAnsi="楷体" w:eastAsia="楷体" w:cs="楷体"/>
          <w:b/>
          <w:bCs/>
          <w:sz w:val="28"/>
          <w:szCs w:val="28"/>
        </w:rPr>
        <w:t>七、发布公告的媒介</w:t>
      </w:r>
    </w:p>
    <w:p>
      <w:pPr>
        <w:ind w:firstLine="560" w:firstLineChars="200"/>
        <w:rPr>
          <w:rFonts w:ascii="楷体" w:hAnsi="楷体" w:eastAsia="楷体" w:cs="仿宋"/>
          <w:sz w:val="28"/>
          <w:szCs w:val="28"/>
        </w:rPr>
      </w:pPr>
      <w:r>
        <w:rPr>
          <w:rFonts w:hint="eastAsia" w:ascii="楷体" w:hAnsi="楷体" w:eastAsia="楷体" w:cs="楷体"/>
          <w:sz w:val="28"/>
          <w:szCs w:val="28"/>
        </w:rPr>
        <w:t>本次比选公告在泸州市兴泸投资集团有限公司官网（https://www.lzxljt.cn/）、泸州市兴泸远大建筑科技有限公司官网（https://ydjz.lzxljt.cn/）</w:t>
      </w:r>
      <w:r>
        <w:rPr>
          <w:rFonts w:hint="eastAsia" w:ascii="楷体" w:hAnsi="楷体" w:eastAsia="楷体" w:cs="仿宋"/>
          <w:sz w:val="28"/>
          <w:szCs w:val="28"/>
        </w:rPr>
        <w:t>上发布。</w:t>
      </w:r>
    </w:p>
    <w:p>
      <w:pPr>
        <w:rPr>
          <w:rFonts w:ascii="楷体" w:hAnsi="楷体" w:eastAsia="楷体" w:cs="仿宋"/>
          <w:b/>
          <w:bCs/>
          <w:sz w:val="28"/>
          <w:szCs w:val="28"/>
        </w:rPr>
      </w:pPr>
      <w:r>
        <w:rPr>
          <w:rFonts w:hint="eastAsia" w:ascii="楷体" w:hAnsi="楷体" w:eastAsia="楷体" w:cs="仿宋"/>
          <w:b/>
          <w:bCs/>
          <w:sz w:val="28"/>
          <w:szCs w:val="28"/>
        </w:rPr>
        <w:t>八、联系方式</w:t>
      </w:r>
    </w:p>
    <w:p>
      <w:pPr>
        <w:ind w:firstLine="490" w:firstLineChars="175"/>
        <w:rPr>
          <w:rFonts w:ascii="楷体" w:hAnsi="楷体" w:eastAsia="楷体" w:cs="仿宋"/>
          <w:sz w:val="28"/>
          <w:szCs w:val="28"/>
        </w:rPr>
      </w:pPr>
      <w:r>
        <w:rPr>
          <w:rFonts w:hint="eastAsia" w:ascii="楷体" w:hAnsi="楷体" w:eastAsia="楷体" w:cs="仿宋"/>
          <w:sz w:val="28"/>
          <w:szCs w:val="28"/>
          <w:lang w:eastAsia="zh-CN"/>
        </w:rPr>
        <w:t>比</w:t>
      </w:r>
      <w:r>
        <w:rPr>
          <w:rFonts w:hint="eastAsia" w:ascii="楷体" w:hAnsi="楷体" w:eastAsia="楷体" w:cs="仿宋"/>
          <w:sz w:val="28"/>
          <w:szCs w:val="28"/>
        </w:rPr>
        <w:t xml:space="preserve"> </w:t>
      </w:r>
      <w:r>
        <w:rPr>
          <w:rFonts w:hint="eastAsia" w:ascii="楷体" w:hAnsi="楷体" w:eastAsia="楷体" w:cs="仿宋"/>
          <w:sz w:val="28"/>
          <w:szCs w:val="28"/>
          <w:lang w:eastAsia="zh-CN"/>
        </w:rPr>
        <w:t>选</w:t>
      </w:r>
      <w:r>
        <w:rPr>
          <w:rFonts w:hint="eastAsia" w:ascii="楷体" w:hAnsi="楷体" w:eastAsia="楷体" w:cs="仿宋"/>
          <w:sz w:val="28"/>
          <w:szCs w:val="28"/>
        </w:rPr>
        <w:t xml:space="preserve"> 人：泸州市兴泸远大建筑科技有限公司 </w:t>
      </w:r>
    </w:p>
    <w:p>
      <w:pPr>
        <w:ind w:firstLine="560" w:firstLineChars="200"/>
        <w:rPr>
          <w:rFonts w:ascii="楷体" w:hAnsi="楷体" w:eastAsia="楷体" w:cs="仿宋"/>
          <w:sz w:val="28"/>
          <w:szCs w:val="28"/>
        </w:rPr>
      </w:pPr>
      <w:r>
        <w:rPr>
          <w:rFonts w:hint="eastAsia" w:ascii="楷体" w:hAnsi="楷体" w:eastAsia="楷体" w:cs="仿宋"/>
          <w:sz w:val="28"/>
          <w:szCs w:val="28"/>
        </w:rPr>
        <w:t xml:space="preserve">地 址：泸州市纳溪区科技园西部绿色智能住宅产业园区                           </w:t>
      </w:r>
    </w:p>
    <w:p>
      <w:pPr>
        <w:ind w:firstLine="560" w:firstLineChars="200"/>
        <w:rPr>
          <w:rFonts w:ascii="楷体" w:hAnsi="楷体" w:eastAsia="楷体" w:cs="仿宋"/>
          <w:sz w:val="28"/>
          <w:szCs w:val="28"/>
        </w:rPr>
      </w:pPr>
      <w:r>
        <w:rPr>
          <w:rFonts w:hint="eastAsia" w:ascii="楷体" w:hAnsi="楷体" w:eastAsia="楷体" w:cs="仿宋"/>
          <w:sz w:val="28"/>
          <w:szCs w:val="28"/>
        </w:rPr>
        <w:t>邮 编：646000</w:t>
      </w:r>
    </w:p>
    <w:p>
      <w:pPr>
        <w:ind w:firstLine="490" w:firstLineChars="175"/>
        <w:rPr>
          <w:rFonts w:ascii="楷体" w:hAnsi="楷体" w:eastAsia="楷体" w:cs="仿宋"/>
          <w:sz w:val="28"/>
          <w:szCs w:val="28"/>
        </w:rPr>
      </w:pPr>
      <w:r>
        <w:rPr>
          <w:rFonts w:hint="eastAsia" w:ascii="楷体" w:hAnsi="楷体" w:eastAsia="楷体" w:cs="仿宋"/>
          <w:sz w:val="28"/>
          <w:szCs w:val="28"/>
        </w:rPr>
        <w:t xml:space="preserve">联 系 人：田先生  </w:t>
      </w:r>
    </w:p>
    <w:p>
      <w:pPr>
        <w:ind w:firstLine="490" w:firstLineChars="175"/>
        <w:rPr>
          <w:rFonts w:ascii="楷体" w:hAnsi="楷体" w:eastAsia="楷体" w:cs="仿宋"/>
          <w:sz w:val="28"/>
          <w:szCs w:val="28"/>
        </w:rPr>
      </w:pPr>
      <w:r>
        <w:rPr>
          <w:rFonts w:hint="eastAsia" w:ascii="楷体" w:hAnsi="楷体" w:eastAsia="楷体" w:cs="仿宋"/>
          <w:sz w:val="28"/>
          <w:szCs w:val="28"/>
        </w:rPr>
        <w:t>联系电话：0830-4127690/17360566698</w:t>
      </w:r>
    </w:p>
    <w:p>
      <w:pPr>
        <w:spacing w:line="20" w:lineRule="atLeast"/>
        <w:ind w:firstLine="440" w:firstLineChars="100"/>
        <w:jc w:val="center"/>
        <w:rPr>
          <w:rFonts w:ascii="楷体" w:hAnsi="楷体" w:eastAsia="楷体"/>
          <w:sz w:val="44"/>
          <w:szCs w:val="44"/>
        </w:rPr>
      </w:pPr>
      <w:bookmarkStart w:id="3" w:name="_Toc259613867"/>
      <w:bookmarkEnd w:id="3"/>
      <w:bookmarkStart w:id="4" w:name="_Toc241399952"/>
      <w:bookmarkEnd w:id="4"/>
      <w:bookmarkStart w:id="5" w:name="_Toc139685399"/>
    </w:p>
    <w:bookmarkEnd w:id="5"/>
    <w:p>
      <w:pPr>
        <w:spacing w:line="20" w:lineRule="atLeast"/>
        <w:jc w:val="both"/>
        <w:rPr>
          <w:rFonts w:ascii="楷体" w:hAnsi="楷体" w:eastAsia="楷体"/>
          <w:sz w:val="44"/>
          <w:szCs w:val="44"/>
        </w:rPr>
      </w:pPr>
    </w:p>
    <w:p>
      <w:pPr>
        <w:spacing w:line="20" w:lineRule="atLeast"/>
        <w:jc w:val="center"/>
        <w:rPr>
          <w:rFonts w:ascii="楷体" w:hAnsi="楷体" w:eastAsia="楷体"/>
          <w:sz w:val="44"/>
          <w:szCs w:val="44"/>
        </w:rPr>
      </w:pPr>
    </w:p>
    <w:p>
      <w:pPr>
        <w:spacing w:line="20" w:lineRule="atLeast"/>
        <w:jc w:val="center"/>
        <w:rPr>
          <w:rFonts w:ascii="楷体" w:hAnsi="楷体" w:eastAsia="楷体"/>
          <w:sz w:val="44"/>
          <w:szCs w:val="44"/>
        </w:rPr>
      </w:pPr>
    </w:p>
    <w:p>
      <w:pPr>
        <w:spacing w:line="20" w:lineRule="atLeast"/>
        <w:jc w:val="center"/>
        <w:rPr>
          <w:rFonts w:ascii="楷体" w:hAnsi="楷体" w:eastAsia="楷体"/>
          <w:sz w:val="44"/>
          <w:szCs w:val="44"/>
        </w:rPr>
      </w:pPr>
    </w:p>
    <w:p>
      <w:pPr>
        <w:spacing w:line="20" w:lineRule="atLeast"/>
        <w:jc w:val="center"/>
        <w:rPr>
          <w:rFonts w:ascii="楷体" w:hAnsi="楷体" w:eastAsia="楷体"/>
          <w:sz w:val="44"/>
          <w:szCs w:val="44"/>
        </w:rPr>
      </w:pPr>
    </w:p>
    <w:p>
      <w:pPr>
        <w:spacing w:line="20" w:lineRule="atLeast"/>
        <w:jc w:val="center"/>
        <w:rPr>
          <w:rFonts w:ascii="楷体" w:hAnsi="楷体" w:eastAsia="楷体"/>
          <w:sz w:val="44"/>
          <w:szCs w:val="44"/>
        </w:rPr>
      </w:pPr>
    </w:p>
    <w:p>
      <w:pPr>
        <w:spacing w:line="20" w:lineRule="atLeast"/>
        <w:jc w:val="center"/>
        <w:rPr>
          <w:rFonts w:ascii="楷体" w:hAnsi="楷体" w:eastAsia="楷体"/>
          <w:sz w:val="44"/>
          <w:szCs w:val="44"/>
        </w:rPr>
      </w:pPr>
    </w:p>
    <w:p>
      <w:pPr>
        <w:pStyle w:val="2"/>
        <w:rPr>
          <w:rFonts w:ascii="楷体" w:hAnsi="楷体" w:eastAsia="楷体" w:cs="宋体"/>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Heiti SC Light">
    <w:altName w:val="Arial Unicode MS"/>
    <w:panose1 w:val="02000000000000000000"/>
    <w:charset w:val="50"/>
    <w:family w:val="auto"/>
    <w:pitch w:val="default"/>
    <w:sig w:usb0="00000000" w:usb1="00000000" w:usb2="00000010" w:usb3="00000000" w:csb0="003E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50"/>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1"/>
      </w:rPr>
    </w:pPr>
    <w:r>
      <w:fldChar w:fldCharType="begin"/>
    </w:r>
    <w:r>
      <w:rPr>
        <w:rStyle w:val="11"/>
      </w:rPr>
      <w:instrText xml:space="preserve">PAGE  </w:instrText>
    </w:r>
    <w:r>
      <w:fldChar w:fldCharType="separate"/>
    </w:r>
    <w:r>
      <w:rPr>
        <w:rStyle w:val="11"/>
      </w:rPr>
      <w:t>1</w:t>
    </w:r>
    <w:r>
      <w:fldChar w:fldCharType="end"/>
    </w:r>
  </w:p>
  <w:p>
    <w:pPr>
      <w:pStyle w:val="7"/>
      <w:ind w:right="360"/>
      <w:jc w:val="center"/>
      <w:rPr>
        <w:kern w:val="0"/>
        <w:szCs w:val="21"/>
      </w:rPr>
    </w:pPr>
  </w:p>
  <w:p>
    <w:pPr>
      <w:pStyle w:val="7"/>
      <w:ind w:right="360"/>
      <w:jc w:val="center"/>
    </w:pPr>
    <w:r>
      <w:rPr>
        <w:rFonts w:hint="eastAsia"/>
        <w:kern w:val="0"/>
        <w:szCs w:val="21"/>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1"/>
      </w:rPr>
    </w:pPr>
    <w:r>
      <w:fldChar w:fldCharType="begin"/>
    </w:r>
    <w:r>
      <w:rPr>
        <w:rStyle w:val="11"/>
      </w:rPr>
      <w:instrText xml:space="preserve">PAGE  </w:instrText>
    </w:r>
    <w:r>
      <w:fldChar w:fldCharType="separate"/>
    </w:r>
    <w:r>
      <w:rPr>
        <w:rStyle w:val="11"/>
      </w:rPr>
      <w:t>25</w: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1"/>
      </w:rPr>
    </w:pP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tabs>
        <w:tab w:val="left" w:pos="4678"/>
        <w:tab w:val="clear" w:pos="4153"/>
      </w:tabs>
      <w:jc w:val="both"/>
    </w:pP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rPr>
      <w:t>四川省工商行政管理局数据中心建设项目政府采购—比选文件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20BD9"/>
    <w:rsid w:val="0029189C"/>
    <w:rsid w:val="00472021"/>
    <w:rsid w:val="00745F46"/>
    <w:rsid w:val="009C0EB4"/>
    <w:rsid w:val="00A025E1"/>
    <w:rsid w:val="0181659B"/>
    <w:rsid w:val="07C80F97"/>
    <w:rsid w:val="0C5927F7"/>
    <w:rsid w:val="0DD037D3"/>
    <w:rsid w:val="0DF669F0"/>
    <w:rsid w:val="16FE4D80"/>
    <w:rsid w:val="17D2267B"/>
    <w:rsid w:val="18D667B3"/>
    <w:rsid w:val="22F71E29"/>
    <w:rsid w:val="261C6F28"/>
    <w:rsid w:val="2A000C92"/>
    <w:rsid w:val="2EDD1F67"/>
    <w:rsid w:val="39CA5772"/>
    <w:rsid w:val="3E736A4E"/>
    <w:rsid w:val="3EFD78AB"/>
    <w:rsid w:val="3F9D0A4C"/>
    <w:rsid w:val="4C872A0C"/>
    <w:rsid w:val="4F2E59A7"/>
    <w:rsid w:val="504F5923"/>
    <w:rsid w:val="50D82323"/>
    <w:rsid w:val="537A1A96"/>
    <w:rsid w:val="53F20BD9"/>
    <w:rsid w:val="55E42EE8"/>
    <w:rsid w:val="5735581C"/>
    <w:rsid w:val="59DE1A8D"/>
    <w:rsid w:val="5A052FD5"/>
    <w:rsid w:val="5C620AF2"/>
    <w:rsid w:val="5DDA1F01"/>
    <w:rsid w:val="60E13CC4"/>
    <w:rsid w:val="6124320A"/>
    <w:rsid w:val="65EF5F01"/>
    <w:rsid w:val="67C91005"/>
    <w:rsid w:val="69223869"/>
    <w:rsid w:val="6A0C2BD8"/>
    <w:rsid w:val="6C9000C8"/>
    <w:rsid w:val="6DEA24FE"/>
    <w:rsid w:val="73CB6926"/>
    <w:rsid w:val="74D47D46"/>
    <w:rsid w:val="76481C25"/>
    <w:rsid w:val="77A24F1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4"/>
    <w:qFormat/>
    <w:uiPriority w:val="0"/>
    <w:pPr>
      <w:keepNext/>
      <w:keepLines/>
      <w:spacing w:before="260" w:after="260" w:line="415" w:lineRule="auto"/>
      <w:outlineLvl w:val="1"/>
    </w:pPr>
    <w:rPr>
      <w:rFonts w:ascii="Arial" w:hAnsi="Arial" w:eastAsia="黑体"/>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Normal Indent"/>
    <w:basedOn w:val="1"/>
    <w:qFormat/>
    <w:uiPriority w:val="0"/>
    <w:pPr>
      <w:overflowPunct w:val="0"/>
      <w:spacing w:line="360" w:lineRule="auto"/>
      <w:ind w:firstLine="420"/>
    </w:pPr>
    <w:rPr>
      <w:rFonts w:ascii="宋体" w:hAnsi="宋体" w:eastAsia="仿宋_GB2312"/>
      <w:sz w:val="24"/>
      <w:szCs w:val="20"/>
    </w:rPr>
  </w:style>
  <w:style w:type="paragraph" w:styleId="6">
    <w:name w:val="Balloon Text"/>
    <w:basedOn w:val="1"/>
    <w:link w:val="14"/>
    <w:qFormat/>
    <w:uiPriority w:val="0"/>
    <w:rPr>
      <w:rFonts w:ascii="Heiti SC Light" w:eastAsia="Heiti SC Light"/>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paragraph" w:styleId="12">
    <w:name w:val="List Paragraph"/>
    <w:basedOn w:val="1"/>
    <w:qFormat/>
    <w:uiPriority w:val="34"/>
    <w:pPr>
      <w:ind w:firstLine="200" w:firstLineChars="200"/>
    </w:pPr>
    <w:rPr>
      <w:szCs w:val="22"/>
    </w:rPr>
  </w:style>
  <w:style w:type="paragraph" w:customStyle="1" w:styleId="13">
    <w:name w:val="_Style 1"/>
    <w:basedOn w:val="1"/>
    <w:qFormat/>
    <w:uiPriority w:val="0"/>
    <w:pPr>
      <w:ind w:firstLine="200" w:firstLineChars="200"/>
    </w:pPr>
    <w:rPr>
      <w:szCs w:val="22"/>
    </w:rPr>
  </w:style>
  <w:style w:type="character" w:customStyle="1" w:styleId="14">
    <w:name w:val="批注框文本字符"/>
    <w:basedOn w:val="10"/>
    <w:link w:val="6"/>
    <w:qFormat/>
    <w:uiPriority w:val="0"/>
    <w:rPr>
      <w:rFonts w:ascii="Heiti SC Light" w:hAnsi="Calibri" w:eastAsia="Heiti SC Light"/>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1322</Words>
  <Characters>7536</Characters>
  <Lines>62</Lines>
  <Paragraphs>17</Paragraphs>
  <TotalTime>25</TotalTime>
  <ScaleCrop>false</ScaleCrop>
  <LinksUpToDate>false</LinksUpToDate>
  <CharactersWithSpaces>8841</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2020-05-22T08:03:00Z</dcterms:created>
  <dc:creator>TH、</dc:creator>
  <cp:lastModifiedBy>TH、</cp:lastModifiedBy>
  <dcterms:modified xsi:type="dcterms:W3CDTF">2020-07-01T06:33:26Z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